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67" w:rsidRPr="00C22567" w:rsidRDefault="00C22567" w:rsidP="00C22567">
      <w:pPr>
        <w:tabs>
          <w:tab w:val="right" w:leader="hyphen" w:pos="8931"/>
        </w:tabs>
        <w:spacing w:after="0" w:line="360" w:lineRule="auto"/>
        <w:ind w:right="-91"/>
        <w:jc w:val="center"/>
        <w:rPr>
          <w:rFonts w:ascii="Arial" w:eastAsia="Times New Roman" w:hAnsi="Arial" w:cs="Arial"/>
          <w:b/>
          <w:sz w:val="24"/>
          <w:szCs w:val="24"/>
          <w:u w:val="single"/>
          <w:lang w:eastAsia="es-ES"/>
        </w:rPr>
      </w:pPr>
      <w:r w:rsidRPr="00C22567">
        <w:rPr>
          <w:rFonts w:ascii="Arial" w:eastAsia="Times New Roman" w:hAnsi="Arial" w:cs="Arial"/>
          <w:b/>
          <w:sz w:val="24"/>
          <w:szCs w:val="24"/>
          <w:u w:val="single"/>
          <w:lang w:eastAsia="es-ES"/>
        </w:rPr>
        <w:t>AUTO DE ADMISIÓN Y CIERRE DE INSTRUCCIÓN.</w:t>
      </w:r>
    </w:p>
    <w:p w:rsidR="00C22567" w:rsidRDefault="00C22567" w:rsidP="00C22567">
      <w:pPr>
        <w:tabs>
          <w:tab w:val="right" w:leader="hyphen" w:pos="8931"/>
        </w:tabs>
        <w:spacing w:after="0" w:line="360" w:lineRule="auto"/>
        <w:ind w:right="-91"/>
        <w:jc w:val="center"/>
        <w:rPr>
          <w:rFonts w:ascii="Arial" w:eastAsia="Times New Roman" w:hAnsi="Arial" w:cs="Arial"/>
          <w:b/>
          <w:sz w:val="24"/>
          <w:szCs w:val="24"/>
          <w:lang w:eastAsia="es-ES"/>
        </w:rPr>
      </w:pPr>
      <w:r w:rsidRPr="005C5936">
        <w:rPr>
          <w:noProof/>
          <w:sz w:val="24"/>
          <w:szCs w:val="24"/>
          <w:lang w:eastAsia="es-MX"/>
        </w:rPr>
        <mc:AlternateContent>
          <mc:Choice Requires="wps">
            <w:drawing>
              <wp:anchor distT="45720" distB="45720" distL="114300" distR="114300" simplePos="0" relativeHeight="251659264" behindDoc="0" locked="0" layoutInCell="1" allowOverlap="1" wp14:anchorId="51717A69" wp14:editId="0971FEFD">
                <wp:simplePos x="0" y="0"/>
                <wp:positionH relativeFrom="margin">
                  <wp:posOffset>2615565</wp:posOffset>
                </wp:positionH>
                <wp:positionV relativeFrom="paragraph">
                  <wp:posOffset>260985</wp:posOffset>
                </wp:positionV>
                <wp:extent cx="3058795" cy="2495550"/>
                <wp:effectExtent l="0" t="0" r="825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495550"/>
                        </a:xfrm>
                        <a:prstGeom prst="rect">
                          <a:avLst/>
                        </a:prstGeom>
                        <a:solidFill>
                          <a:srgbClr val="FFFFFF"/>
                        </a:solidFill>
                        <a:ln w="9525">
                          <a:noFill/>
                          <a:miter lim="800000"/>
                          <a:headEnd/>
                          <a:tailEnd/>
                        </a:ln>
                      </wps:spPr>
                      <wps:txbx>
                        <w:txbxContent>
                          <w:p w:rsidR="00C22567" w:rsidRPr="005C5936" w:rsidRDefault="00C22567" w:rsidP="00C22567">
                            <w:pPr>
                              <w:jc w:val="both"/>
                              <w:rPr>
                                <w:rFonts w:ascii="Arial" w:hAnsi="Arial" w:cs="Arial"/>
                                <w:b/>
                                <w:sz w:val="24"/>
                                <w:szCs w:val="24"/>
                              </w:rPr>
                            </w:pPr>
                            <w:r w:rsidRPr="005C5936">
                              <w:rPr>
                                <w:rFonts w:ascii="Arial" w:hAnsi="Arial" w:cs="Arial"/>
                                <w:b/>
                                <w:sz w:val="24"/>
                                <w:szCs w:val="24"/>
                              </w:rPr>
                              <w:t xml:space="preserve">Juicio para la Protección de los Derechos Político- Electorales del Ciudadano. </w:t>
                            </w:r>
                          </w:p>
                          <w:p w:rsidR="00C22567" w:rsidRPr="005C5936" w:rsidRDefault="00C22567" w:rsidP="00C22567">
                            <w:pPr>
                              <w:jc w:val="both"/>
                              <w:rPr>
                                <w:rFonts w:ascii="Arial" w:hAnsi="Arial" w:cs="Arial"/>
                                <w:sz w:val="24"/>
                                <w:szCs w:val="24"/>
                              </w:rPr>
                            </w:pPr>
                            <w:r w:rsidRPr="005C5936">
                              <w:rPr>
                                <w:rFonts w:ascii="Arial" w:hAnsi="Arial" w:cs="Arial"/>
                                <w:b/>
                                <w:sz w:val="24"/>
                                <w:szCs w:val="24"/>
                              </w:rPr>
                              <w:t>Expediente:</w:t>
                            </w:r>
                            <w:r w:rsidRPr="005C5936">
                              <w:rPr>
                                <w:rFonts w:ascii="Arial" w:hAnsi="Arial" w:cs="Arial"/>
                                <w:sz w:val="24"/>
                                <w:szCs w:val="24"/>
                              </w:rPr>
                              <w:t xml:space="preserve"> </w:t>
                            </w:r>
                            <w:r w:rsidRPr="005C5936">
                              <w:rPr>
                                <w:rFonts w:ascii="Arial" w:hAnsi="Arial" w:cs="Arial"/>
                                <w:sz w:val="24"/>
                                <w:szCs w:val="24"/>
                              </w:rPr>
                              <w:tab/>
                              <w:t>TEEA-JDC-</w:t>
                            </w:r>
                            <w:r>
                              <w:rPr>
                                <w:rFonts w:ascii="Arial" w:hAnsi="Arial" w:cs="Arial"/>
                                <w:sz w:val="24"/>
                                <w:szCs w:val="24"/>
                              </w:rPr>
                              <w:t>004</w:t>
                            </w:r>
                            <w:r w:rsidRPr="005C5936">
                              <w:rPr>
                                <w:rFonts w:ascii="Arial" w:hAnsi="Arial" w:cs="Arial"/>
                                <w:sz w:val="24"/>
                                <w:szCs w:val="24"/>
                              </w:rPr>
                              <w:t>/20</w:t>
                            </w:r>
                            <w:r>
                              <w:rPr>
                                <w:rFonts w:ascii="Arial" w:hAnsi="Arial" w:cs="Arial"/>
                                <w:sz w:val="24"/>
                                <w:szCs w:val="24"/>
                              </w:rPr>
                              <w:t>21 y acumulados.</w:t>
                            </w:r>
                          </w:p>
                          <w:p w:rsidR="00C22567" w:rsidRDefault="00C22567" w:rsidP="00C22567">
                            <w:pPr>
                              <w:jc w:val="both"/>
                              <w:rPr>
                                <w:rFonts w:ascii="Arial" w:hAnsi="Arial" w:cs="Arial"/>
                                <w:sz w:val="24"/>
                                <w:szCs w:val="24"/>
                              </w:rPr>
                            </w:pPr>
                            <w:proofErr w:type="spellStart"/>
                            <w:r w:rsidRPr="005C5936">
                              <w:rPr>
                                <w:rFonts w:ascii="Arial" w:hAnsi="Arial" w:cs="Arial"/>
                                <w:b/>
                                <w:sz w:val="24"/>
                                <w:szCs w:val="24"/>
                              </w:rPr>
                              <w:t>Promovente</w:t>
                            </w:r>
                            <w:proofErr w:type="spellEnd"/>
                            <w:r w:rsidRPr="005C5936">
                              <w:rPr>
                                <w:rFonts w:ascii="Arial" w:hAnsi="Arial" w:cs="Arial"/>
                                <w:b/>
                                <w:sz w:val="24"/>
                                <w:szCs w:val="24"/>
                              </w:rPr>
                              <w:t>:</w:t>
                            </w:r>
                            <w:r w:rsidRPr="005C5936">
                              <w:rPr>
                                <w:rFonts w:ascii="Arial" w:hAnsi="Arial" w:cs="Arial"/>
                                <w:sz w:val="24"/>
                                <w:szCs w:val="24"/>
                              </w:rPr>
                              <w:t xml:space="preserve"> </w:t>
                            </w:r>
                            <w:r w:rsidRPr="005C5936">
                              <w:rPr>
                                <w:rFonts w:ascii="Arial" w:hAnsi="Arial" w:cs="Arial"/>
                                <w:sz w:val="24"/>
                                <w:szCs w:val="24"/>
                              </w:rPr>
                              <w:tab/>
                              <w:t xml:space="preserve">C. </w:t>
                            </w:r>
                            <w:r>
                              <w:rPr>
                                <w:rFonts w:ascii="Arial" w:hAnsi="Arial" w:cs="Arial"/>
                                <w:sz w:val="24"/>
                                <w:szCs w:val="24"/>
                              </w:rPr>
                              <w:t>María del Rosario Carreón de la Cruz y otras.</w:t>
                            </w:r>
                          </w:p>
                          <w:p w:rsidR="00C22567" w:rsidRPr="005C5936" w:rsidRDefault="00C22567" w:rsidP="00C22567">
                            <w:pPr>
                              <w:jc w:val="both"/>
                              <w:rPr>
                                <w:rFonts w:ascii="Arial" w:hAnsi="Arial" w:cs="Arial"/>
                                <w:b/>
                                <w:sz w:val="24"/>
                                <w:szCs w:val="24"/>
                              </w:rPr>
                            </w:pPr>
                            <w:r w:rsidRPr="005C5936">
                              <w:rPr>
                                <w:rFonts w:ascii="Arial" w:hAnsi="Arial" w:cs="Arial"/>
                                <w:b/>
                                <w:sz w:val="24"/>
                                <w:szCs w:val="24"/>
                              </w:rPr>
                              <w:t>Responsable:</w:t>
                            </w:r>
                            <w:r w:rsidRPr="005C5936">
                              <w:rPr>
                                <w:rFonts w:ascii="Arial" w:hAnsi="Arial" w:cs="Arial"/>
                                <w:sz w:val="24"/>
                                <w:szCs w:val="24"/>
                              </w:rPr>
                              <w:tab/>
                            </w:r>
                            <w:r>
                              <w:rPr>
                                <w:rFonts w:ascii="Arial" w:hAnsi="Arial" w:cs="Arial"/>
                                <w:sz w:val="24"/>
                                <w:szCs w:val="24"/>
                              </w:rPr>
                              <w:t>Consejo General del Instituto Estatal Electoral de Aguascalientes.</w:t>
                            </w:r>
                            <w:r w:rsidRPr="005C5936">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17A69" id="_x0000_t202" coordsize="21600,21600" o:spt="202" path="m,l,21600r21600,l21600,xe">
                <v:stroke joinstyle="miter"/>
                <v:path gradientshapeok="t" o:connecttype="rect"/>
              </v:shapetype>
              <v:shape id="Cuadro de texto 1" o:spid="_x0000_s1026" type="#_x0000_t202" style="position:absolute;left:0;text-align:left;margin-left:205.95pt;margin-top:20.55pt;width:240.85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" stroked="f">
                <v:textbox>
                  <w:txbxContent>
                    <w:p w:rsidR="00C22567" w:rsidRPr="005C5936" w:rsidRDefault="00C22567" w:rsidP="00C22567">
                      <w:pPr>
                        <w:jc w:val="both"/>
                        <w:rPr>
                          <w:rFonts w:ascii="Arial" w:hAnsi="Arial" w:cs="Arial"/>
                          <w:b/>
                          <w:sz w:val="24"/>
                          <w:szCs w:val="24"/>
                        </w:rPr>
                      </w:pPr>
                      <w:r w:rsidRPr="005C5936">
                        <w:rPr>
                          <w:rFonts w:ascii="Arial" w:hAnsi="Arial" w:cs="Arial"/>
                          <w:b/>
                          <w:sz w:val="24"/>
                          <w:szCs w:val="24"/>
                        </w:rPr>
                        <w:t xml:space="preserve">Juicio para la Protección de los Derechos Político- Electorales del Ciudadano. </w:t>
                      </w:r>
                    </w:p>
                    <w:p w:rsidR="00C22567" w:rsidRPr="005C5936" w:rsidRDefault="00C22567" w:rsidP="00C22567">
                      <w:pPr>
                        <w:jc w:val="both"/>
                        <w:rPr>
                          <w:rFonts w:ascii="Arial" w:hAnsi="Arial" w:cs="Arial"/>
                          <w:sz w:val="24"/>
                          <w:szCs w:val="24"/>
                        </w:rPr>
                      </w:pPr>
                      <w:r w:rsidRPr="005C5936">
                        <w:rPr>
                          <w:rFonts w:ascii="Arial" w:hAnsi="Arial" w:cs="Arial"/>
                          <w:b/>
                          <w:sz w:val="24"/>
                          <w:szCs w:val="24"/>
                        </w:rPr>
                        <w:t>Expediente:</w:t>
                      </w:r>
                      <w:r w:rsidRPr="005C5936">
                        <w:rPr>
                          <w:rFonts w:ascii="Arial" w:hAnsi="Arial" w:cs="Arial"/>
                          <w:sz w:val="24"/>
                          <w:szCs w:val="24"/>
                        </w:rPr>
                        <w:t xml:space="preserve"> </w:t>
                      </w:r>
                      <w:r w:rsidRPr="005C5936">
                        <w:rPr>
                          <w:rFonts w:ascii="Arial" w:hAnsi="Arial" w:cs="Arial"/>
                          <w:sz w:val="24"/>
                          <w:szCs w:val="24"/>
                        </w:rPr>
                        <w:tab/>
                        <w:t>TEEA-JDC-</w:t>
                      </w:r>
                      <w:r>
                        <w:rPr>
                          <w:rFonts w:ascii="Arial" w:hAnsi="Arial" w:cs="Arial"/>
                          <w:sz w:val="24"/>
                          <w:szCs w:val="24"/>
                        </w:rPr>
                        <w:t>004</w:t>
                      </w:r>
                      <w:r w:rsidRPr="005C5936">
                        <w:rPr>
                          <w:rFonts w:ascii="Arial" w:hAnsi="Arial" w:cs="Arial"/>
                          <w:sz w:val="24"/>
                          <w:szCs w:val="24"/>
                        </w:rPr>
                        <w:t>/20</w:t>
                      </w:r>
                      <w:r>
                        <w:rPr>
                          <w:rFonts w:ascii="Arial" w:hAnsi="Arial" w:cs="Arial"/>
                          <w:sz w:val="24"/>
                          <w:szCs w:val="24"/>
                        </w:rPr>
                        <w:t>21 y acumulados.</w:t>
                      </w:r>
                    </w:p>
                    <w:p w:rsidR="00C22567" w:rsidRDefault="00C22567" w:rsidP="00C22567">
                      <w:pPr>
                        <w:jc w:val="both"/>
                        <w:rPr>
                          <w:rFonts w:ascii="Arial" w:hAnsi="Arial" w:cs="Arial"/>
                          <w:sz w:val="24"/>
                          <w:szCs w:val="24"/>
                        </w:rPr>
                      </w:pPr>
                      <w:proofErr w:type="spellStart"/>
                      <w:r w:rsidRPr="005C5936">
                        <w:rPr>
                          <w:rFonts w:ascii="Arial" w:hAnsi="Arial" w:cs="Arial"/>
                          <w:b/>
                          <w:sz w:val="24"/>
                          <w:szCs w:val="24"/>
                        </w:rPr>
                        <w:t>Promovente</w:t>
                      </w:r>
                      <w:proofErr w:type="spellEnd"/>
                      <w:r w:rsidRPr="005C5936">
                        <w:rPr>
                          <w:rFonts w:ascii="Arial" w:hAnsi="Arial" w:cs="Arial"/>
                          <w:b/>
                          <w:sz w:val="24"/>
                          <w:szCs w:val="24"/>
                        </w:rPr>
                        <w:t>:</w:t>
                      </w:r>
                      <w:r w:rsidRPr="005C5936">
                        <w:rPr>
                          <w:rFonts w:ascii="Arial" w:hAnsi="Arial" w:cs="Arial"/>
                          <w:sz w:val="24"/>
                          <w:szCs w:val="24"/>
                        </w:rPr>
                        <w:t xml:space="preserve"> </w:t>
                      </w:r>
                      <w:r w:rsidRPr="005C5936">
                        <w:rPr>
                          <w:rFonts w:ascii="Arial" w:hAnsi="Arial" w:cs="Arial"/>
                          <w:sz w:val="24"/>
                          <w:szCs w:val="24"/>
                        </w:rPr>
                        <w:tab/>
                        <w:t xml:space="preserve">C. </w:t>
                      </w:r>
                      <w:r>
                        <w:rPr>
                          <w:rFonts w:ascii="Arial" w:hAnsi="Arial" w:cs="Arial"/>
                          <w:sz w:val="24"/>
                          <w:szCs w:val="24"/>
                        </w:rPr>
                        <w:t>María del Rosario Carreón de la Cruz y otras.</w:t>
                      </w:r>
                    </w:p>
                    <w:p w:rsidR="00C22567" w:rsidRPr="005C5936" w:rsidRDefault="00C22567" w:rsidP="00C22567">
                      <w:pPr>
                        <w:jc w:val="both"/>
                        <w:rPr>
                          <w:rFonts w:ascii="Arial" w:hAnsi="Arial" w:cs="Arial"/>
                          <w:b/>
                          <w:sz w:val="24"/>
                          <w:szCs w:val="24"/>
                        </w:rPr>
                      </w:pPr>
                      <w:r w:rsidRPr="005C5936">
                        <w:rPr>
                          <w:rFonts w:ascii="Arial" w:hAnsi="Arial" w:cs="Arial"/>
                          <w:b/>
                          <w:sz w:val="24"/>
                          <w:szCs w:val="24"/>
                        </w:rPr>
                        <w:t>Responsable:</w:t>
                      </w:r>
                      <w:r w:rsidRPr="005C5936">
                        <w:rPr>
                          <w:rFonts w:ascii="Arial" w:hAnsi="Arial" w:cs="Arial"/>
                          <w:sz w:val="24"/>
                          <w:szCs w:val="24"/>
                        </w:rPr>
                        <w:tab/>
                      </w:r>
                      <w:r>
                        <w:rPr>
                          <w:rFonts w:ascii="Arial" w:hAnsi="Arial" w:cs="Arial"/>
                          <w:sz w:val="24"/>
                          <w:szCs w:val="24"/>
                        </w:rPr>
                        <w:t>Consejo General del Instituto Estatal Electoral de Aguascalientes.</w:t>
                      </w:r>
                      <w:r w:rsidRPr="005C5936">
                        <w:rPr>
                          <w:rFonts w:ascii="Arial" w:hAnsi="Arial" w:cs="Arial"/>
                          <w:sz w:val="24"/>
                          <w:szCs w:val="24"/>
                        </w:rPr>
                        <w:t xml:space="preserve"> </w:t>
                      </w:r>
                    </w:p>
                  </w:txbxContent>
                </v:textbox>
                <w10:wrap type="square" anchorx="margin"/>
              </v:shape>
            </w:pict>
          </mc:Fallback>
        </mc:AlternateContent>
      </w:r>
    </w:p>
    <w:p w:rsidR="00C22567" w:rsidRPr="005C5936" w:rsidRDefault="00C22567" w:rsidP="00C22567">
      <w:pPr>
        <w:tabs>
          <w:tab w:val="right" w:leader="hyphen" w:pos="8931"/>
        </w:tabs>
        <w:spacing w:after="0" w:line="360" w:lineRule="auto"/>
        <w:ind w:right="-91"/>
        <w:jc w:val="center"/>
        <w:rPr>
          <w:rFonts w:ascii="Arial" w:eastAsia="Times New Roman" w:hAnsi="Arial" w:cs="Arial"/>
          <w:b/>
          <w:sz w:val="24"/>
          <w:szCs w:val="24"/>
          <w:lang w:eastAsia="es-ES"/>
        </w:rPr>
      </w:pPr>
    </w:p>
    <w:p w:rsidR="00C22567" w:rsidRPr="005C5936" w:rsidRDefault="00C22567" w:rsidP="00C22567">
      <w:pPr>
        <w:spacing w:after="0" w:line="360" w:lineRule="auto"/>
        <w:ind w:left="284"/>
        <w:jc w:val="center"/>
        <w:rPr>
          <w:rFonts w:ascii="Arial" w:eastAsia="Times New Roman" w:hAnsi="Arial" w:cs="Arial"/>
          <w:bCs/>
          <w:kern w:val="16"/>
          <w:sz w:val="24"/>
          <w:szCs w:val="24"/>
          <w:lang w:eastAsia="es-ES"/>
        </w:rPr>
      </w:pPr>
    </w:p>
    <w:p w:rsidR="00C22567" w:rsidRPr="005C5936" w:rsidRDefault="00C22567" w:rsidP="00C22567">
      <w:pPr>
        <w:spacing w:after="0" w:line="360" w:lineRule="auto"/>
        <w:ind w:left="284"/>
        <w:jc w:val="right"/>
        <w:rPr>
          <w:rFonts w:ascii="Arial" w:eastAsia="Times New Roman" w:hAnsi="Arial" w:cs="Arial"/>
          <w:bCs/>
          <w:kern w:val="16"/>
          <w:sz w:val="24"/>
          <w:szCs w:val="24"/>
          <w:lang w:eastAsia="es-ES"/>
        </w:rPr>
      </w:pPr>
    </w:p>
    <w:p w:rsidR="00C22567" w:rsidRPr="005C5936" w:rsidRDefault="00C22567" w:rsidP="00C22567">
      <w:pPr>
        <w:spacing w:after="0" w:line="360" w:lineRule="auto"/>
        <w:ind w:left="284"/>
        <w:jc w:val="center"/>
        <w:rPr>
          <w:rFonts w:ascii="Arial" w:eastAsia="Times New Roman" w:hAnsi="Arial" w:cs="Arial"/>
          <w:bCs/>
          <w:kern w:val="16"/>
          <w:sz w:val="24"/>
          <w:szCs w:val="24"/>
          <w:lang w:eastAsia="es-ES"/>
        </w:rPr>
      </w:pPr>
    </w:p>
    <w:p w:rsidR="00C22567" w:rsidRPr="005C5936" w:rsidRDefault="00C22567" w:rsidP="00C22567">
      <w:pPr>
        <w:spacing w:after="0" w:line="360" w:lineRule="auto"/>
        <w:ind w:left="284"/>
        <w:jc w:val="center"/>
        <w:rPr>
          <w:rFonts w:ascii="Arial" w:eastAsia="Times New Roman" w:hAnsi="Arial" w:cs="Arial"/>
          <w:bCs/>
          <w:kern w:val="16"/>
          <w:sz w:val="24"/>
          <w:szCs w:val="24"/>
          <w:lang w:eastAsia="es-ES"/>
        </w:rPr>
      </w:pPr>
    </w:p>
    <w:p w:rsidR="00C22567" w:rsidRPr="005C5936" w:rsidRDefault="00C22567" w:rsidP="00C22567">
      <w:pPr>
        <w:spacing w:after="0" w:line="360" w:lineRule="auto"/>
        <w:ind w:left="284"/>
        <w:jc w:val="center"/>
        <w:rPr>
          <w:rFonts w:ascii="Arial" w:eastAsia="Times New Roman" w:hAnsi="Arial" w:cs="Arial"/>
          <w:bCs/>
          <w:kern w:val="16"/>
          <w:sz w:val="24"/>
          <w:szCs w:val="24"/>
          <w:lang w:eastAsia="es-ES"/>
        </w:rPr>
      </w:pPr>
    </w:p>
    <w:p w:rsidR="00C22567" w:rsidRPr="005C5936" w:rsidRDefault="00C22567" w:rsidP="00C22567">
      <w:pPr>
        <w:spacing w:line="360" w:lineRule="auto"/>
        <w:ind w:firstLine="708"/>
        <w:jc w:val="both"/>
        <w:rPr>
          <w:rFonts w:ascii="Arial" w:eastAsia="Times New Roman" w:hAnsi="Arial" w:cs="Arial"/>
          <w:bCs/>
          <w:sz w:val="24"/>
          <w:szCs w:val="24"/>
          <w:lang w:eastAsia="es-MX"/>
        </w:rPr>
      </w:pPr>
    </w:p>
    <w:p w:rsidR="00C22567" w:rsidRDefault="00C22567" w:rsidP="00C22567">
      <w:pPr>
        <w:spacing w:line="360" w:lineRule="auto"/>
        <w:ind w:firstLine="708"/>
        <w:jc w:val="both"/>
        <w:rPr>
          <w:rFonts w:ascii="Arial" w:eastAsia="Times New Roman" w:hAnsi="Arial" w:cs="Arial"/>
          <w:bCs/>
          <w:sz w:val="24"/>
          <w:szCs w:val="24"/>
          <w:lang w:eastAsia="es-MX"/>
        </w:rPr>
      </w:pPr>
    </w:p>
    <w:p w:rsidR="00C22567" w:rsidRDefault="00C22567" w:rsidP="00C22567">
      <w:pPr>
        <w:spacing w:line="360" w:lineRule="auto"/>
        <w:ind w:firstLine="708"/>
        <w:jc w:val="both"/>
        <w:rPr>
          <w:rFonts w:ascii="Arial" w:eastAsia="Times New Roman" w:hAnsi="Arial" w:cs="Arial"/>
          <w:b/>
          <w:bCs/>
          <w:sz w:val="24"/>
          <w:szCs w:val="24"/>
          <w:lang w:eastAsia="es-MX"/>
        </w:rPr>
      </w:pPr>
    </w:p>
    <w:p w:rsidR="00C22567" w:rsidRDefault="00C22567" w:rsidP="00C22567">
      <w:pPr>
        <w:spacing w:line="360" w:lineRule="auto"/>
        <w:ind w:firstLine="708"/>
        <w:jc w:val="both"/>
        <w:rPr>
          <w:rFonts w:ascii="Arial" w:eastAsia="Times New Roman" w:hAnsi="Arial" w:cs="Arial"/>
          <w:bCs/>
          <w:sz w:val="24"/>
          <w:szCs w:val="24"/>
          <w:lang w:eastAsia="es-MX"/>
        </w:rPr>
      </w:pPr>
      <w:r w:rsidRPr="00386305">
        <w:rPr>
          <w:rFonts w:ascii="Arial" w:eastAsia="Times New Roman" w:hAnsi="Arial" w:cs="Arial"/>
          <w:bCs/>
          <w:sz w:val="24"/>
          <w:szCs w:val="24"/>
          <w:lang w:eastAsia="es-MX"/>
        </w:rPr>
        <w:t>Aguascalientes, Aguascalientes, a veintiocho de enero de dos mil veintiuno.</w:t>
      </w:r>
    </w:p>
    <w:p w:rsidR="00386305" w:rsidRPr="00386305" w:rsidRDefault="00386305" w:rsidP="00C22567">
      <w:pPr>
        <w:spacing w:line="360" w:lineRule="auto"/>
        <w:ind w:firstLine="708"/>
        <w:jc w:val="both"/>
        <w:rPr>
          <w:rFonts w:ascii="Arial" w:eastAsia="Times New Roman" w:hAnsi="Arial" w:cs="Arial"/>
          <w:bCs/>
          <w:sz w:val="24"/>
          <w:szCs w:val="24"/>
          <w:lang w:eastAsia="es-MX"/>
        </w:rPr>
      </w:pPr>
    </w:p>
    <w:p w:rsidR="00C22567" w:rsidRDefault="00C22567" w:rsidP="00C22567">
      <w:pPr>
        <w:spacing w:line="360" w:lineRule="auto"/>
        <w:ind w:firstLine="708"/>
        <w:jc w:val="both"/>
        <w:rPr>
          <w:rFonts w:ascii="Arial" w:eastAsia="Times New Roman" w:hAnsi="Arial" w:cs="Arial"/>
          <w:bCs/>
          <w:sz w:val="24"/>
          <w:szCs w:val="24"/>
          <w:lang w:eastAsia="es-MX"/>
        </w:rPr>
      </w:pPr>
      <w:r>
        <w:rPr>
          <w:rFonts w:ascii="Arial" w:eastAsia="Times New Roman" w:hAnsi="Arial" w:cs="Arial"/>
          <w:bCs/>
          <w:sz w:val="24"/>
          <w:szCs w:val="24"/>
          <w:lang w:eastAsia="es-MX"/>
        </w:rPr>
        <w:t>El Secretario de Estudio, da cuenta al Magistrado Héctor Salvador Hernández Gallegos, con el estado que guardan los autos.</w:t>
      </w:r>
    </w:p>
    <w:p w:rsidR="00C22567" w:rsidRPr="00BE50FA" w:rsidRDefault="00C22567" w:rsidP="00C22567">
      <w:pPr>
        <w:spacing w:line="360" w:lineRule="auto"/>
        <w:ind w:firstLine="708"/>
        <w:jc w:val="both"/>
        <w:rPr>
          <w:rFonts w:ascii="Arial" w:eastAsia="Times New Roman" w:hAnsi="Arial" w:cs="Arial"/>
          <w:b/>
          <w:bCs/>
          <w:sz w:val="24"/>
          <w:szCs w:val="24"/>
          <w:lang w:eastAsia="es-MX"/>
        </w:rPr>
      </w:pPr>
      <w:r>
        <w:rPr>
          <w:rFonts w:ascii="Arial" w:eastAsia="Times New Roman" w:hAnsi="Arial" w:cs="Arial"/>
          <w:bCs/>
          <w:sz w:val="24"/>
          <w:szCs w:val="24"/>
          <w:lang w:eastAsia="es-MX"/>
        </w:rPr>
        <w:t>C</w:t>
      </w:r>
      <w:r w:rsidRPr="005C5936">
        <w:rPr>
          <w:rFonts w:ascii="Arial" w:eastAsia="Times New Roman" w:hAnsi="Arial" w:cs="Arial"/>
          <w:bCs/>
          <w:sz w:val="24"/>
          <w:szCs w:val="24"/>
          <w:lang w:eastAsia="es-MX"/>
        </w:rPr>
        <w:t>on</w:t>
      </w:r>
      <w:r>
        <w:rPr>
          <w:rFonts w:ascii="Arial" w:eastAsia="Times New Roman" w:hAnsi="Arial" w:cs="Arial"/>
          <w:bCs/>
          <w:sz w:val="24"/>
          <w:szCs w:val="24"/>
          <w:lang w:eastAsia="es-MX"/>
        </w:rPr>
        <w:t xml:space="preserve"> fundamento en los artículos 296, 298, </w:t>
      </w:r>
      <w:r w:rsidR="008C0488">
        <w:rPr>
          <w:rFonts w:ascii="Arial" w:eastAsia="Times New Roman" w:hAnsi="Arial" w:cs="Arial"/>
          <w:bCs/>
          <w:sz w:val="24"/>
          <w:szCs w:val="24"/>
          <w:lang w:eastAsia="es-MX"/>
        </w:rPr>
        <w:t xml:space="preserve">299, </w:t>
      </w:r>
      <w:r>
        <w:rPr>
          <w:rFonts w:ascii="Arial" w:eastAsia="Times New Roman" w:hAnsi="Arial" w:cs="Arial"/>
          <w:bCs/>
          <w:sz w:val="24"/>
          <w:szCs w:val="24"/>
          <w:lang w:eastAsia="es-MX"/>
        </w:rPr>
        <w:t xml:space="preserve">302, 307, </w:t>
      </w:r>
      <w:r w:rsidR="008C0488">
        <w:rPr>
          <w:rFonts w:ascii="Arial" w:eastAsia="Times New Roman" w:hAnsi="Arial" w:cs="Arial"/>
          <w:bCs/>
          <w:sz w:val="24"/>
          <w:szCs w:val="24"/>
          <w:lang w:eastAsia="es-MX"/>
        </w:rPr>
        <w:t xml:space="preserve">308, 309, 310, </w:t>
      </w:r>
      <w:r>
        <w:rPr>
          <w:rFonts w:ascii="Arial" w:eastAsia="Times New Roman" w:hAnsi="Arial" w:cs="Arial"/>
          <w:bCs/>
          <w:sz w:val="24"/>
          <w:szCs w:val="24"/>
          <w:lang w:eastAsia="es-MX"/>
        </w:rPr>
        <w:t xml:space="preserve">311, 312, 313, fracción I y III, 316, 354 y 360 </w:t>
      </w:r>
      <w:r w:rsidRPr="005C5936">
        <w:rPr>
          <w:rFonts w:ascii="Arial" w:eastAsia="Times New Roman" w:hAnsi="Arial" w:cs="Arial"/>
          <w:bCs/>
          <w:sz w:val="24"/>
          <w:szCs w:val="24"/>
          <w:lang w:eastAsia="es-MX"/>
        </w:rPr>
        <w:t>del Código Electoral del Estado de Aguascal</w:t>
      </w:r>
      <w:r>
        <w:rPr>
          <w:rFonts w:ascii="Arial" w:eastAsia="Times New Roman" w:hAnsi="Arial" w:cs="Arial"/>
          <w:bCs/>
          <w:sz w:val="24"/>
          <w:szCs w:val="24"/>
          <w:lang w:eastAsia="es-MX"/>
        </w:rPr>
        <w:t>ientes; así como los diversos 23,32, fracciones VI y XVIII,</w:t>
      </w:r>
      <w:r w:rsidR="008C0488">
        <w:rPr>
          <w:rFonts w:ascii="Arial" w:eastAsia="Times New Roman" w:hAnsi="Arial" w:cs="Arial"/>
          <w:bCs/>
          <w:sz w:val="24"/>
          <w:szCs w:val="24"/>
          <w:lang w:eastAsia="es-MX"/>
        </w:rPr>
        <w:t xml:space="preserve"> 106,</w:t>
      </w:r>
      <w:r>
        <w:rPr>
          <w:rFonts w:ascii="Arial" w:eastAsia="Times New Roman" w:hAnsi="Arial" w:cs="Arial"/>
          <w:bCs/>
          <w:sz w:val="24"/>
          <w:szCs w:val="24"/>
          <w:lang w:eastAsia="es-MX"/>
        </w:rPr>
        <w:t xml:space="preserve"> 115 y 116 </w:t>
      </w:r>
      <w:r w:rsidRPr="005C5936">
        <w:rPr>
          <w:rFonts w:ascii="Arial" w:eastAsia="Times New Roman" w:hAnsi="Arial" w:cs="Arial"/>
          <w:bCs/>
          <w:sz w:val="24"/>
          <w:szCs w:val="24"/>
          <w:lang w:eastAsia="es-MX"/>
        </w:rPr>
        <w:t xml:space="preserve">del Reglamento Interior del Tribunal Electoral del Estado de Aguascalientes; </w:t>
      </w:r>
      <w:r w:rsidR="008C0488">
        <w:rPr>
          <w:rFonts w:ascii="Arial" w:eastAsia="Times New Roman" w:hAnsi="Arial" w:cs="Arial"/>
          <w:bCs/>
          <w:sz w:val="24"/>
          <w:szCs w:val="24"/>
          <w:lang w:eastAsia="es-MX"/>
        </w:rPr>
        <w:t>y 1, 3, 4, 6, 7, fracción II, 8 9, 10, fracción IV y 11</w:t>
      </w:r>
      <w:r>
        <w:rPr>
          <w:rFonts w:ascii="Arial" w:eastAsia="Times New Roman" w:hAnsi="Arial" w:cs="Arial"/>
          <w:bCs/>
          <w:sz w:val="24"/>
          <w:szCs w:val="24"/>
          <w:lang w:eastAsia="es-MX"/>
        </w:rPr>
        <w:t xml:space="preserve"> d</w:t>
      </w:r>
      <w:r w:rsidRPr="005C5936">
        <w:rPr>
          <w:rFonts w:ascii="Arial" w:eastAsia="Times New Roman" w:hAnsi="Arial" w:cs="Arial"/>
          <w:bCs/>
          <w:sz w:val="24"/>
          <w:szCs w:val="24"/>
          <w:lang w:eastAsia="es-MX"/>
        </w:rPr>
        <w:t xml:space="preserve">e los </w:t>
      </w:r>
      <w:r w:rsidRPr="005C5936">
        <w:rPr>
          <w:rFonts w:ascii="Arial" w:eastAsia="Times New Roman" w:hAnsi="Arial" w:cs="Arial"/>
          <w:bCs/>
          <w:iCs/>
          <w:sz w:val="24"/>
          <w:szCs w:val="24"/>
          <w:lang w:eastAsia="es-MX"/>
        </w:rPr>
        <w:t>Lineamientos para la tramitación, sustanciación y resolución del juicio para la protección de los derechos político-electorales del ciudadano, el juicio electoral, y asunto general, competencia del Tribunal Electoral del Estado de Aguascalientes,</w:t>
      </w:r>
      <w:r w:rsidRPr="005C5936">
        <w:rPr>
          <w:rFonts w:ascii="Arial" w:eastAsia="Times New Roman" w:hAnsi="Arial" w:cs="Arial"/>
          <w:b/>
          <w:bCs/>
          <w:i/>
          <w:sz w:val="24"/>
          <w:szCs w:val="24"/>
          <w:lang w:eastAsia="es-MX"/>
        </w:rPr>
        <w:t xml:space="preserve"> </w:t>
      </w:r>
      <w:r w:rsidRPr="00BE50FA">
        <w:rPr>
          <w:rFonts w:ascii="Arial" w:eastAsia="Times New Roman" w:hAnsi="Arial" w:cs="Arial"/>
          <w:b/>
          <w:bCs/>
          <w:iCs/>
          <w:sz w:val="24"/>
          <w:szCs w:val="24"/>
          <w:lang w:eastAsia="es-MX"/>
        </w:rPr>
        <w:t>se</w:t>
      </w:r>
      <w:r w:rsidRPr="00BE50FA">
        <w:rPr>
          <w:rFonts w:ascii="Arial" w:eastAsia="Times New Roman" w:hAnsi="Arial" w:cs="Arial"/>
          <w:b/>
          <w:bCs/>
          <w:sz w:val="24"/>
          <w:szCs w:val="24"/>
          <w:lang w:eastAsia="es-MX"/>
        </w:rPr>
        <w:t xml:space="preserve"> acuerda:</w:t>
      </w:r>
    </w:p>
    <w:p w:rsidR="00C22567" w:rsidRPr="008C0488" w:rsidRDefault="00C22567" w:rsidP="008C0488">
      <w:pPr>
        <w:pStyle w:val="Prrafodelista"/>
        <w:numPr>
          <w:ilvl w:val="0"/>
          <w:numId w:val="1"/>
        </w:numPr>
        <w:spacing w:line="360" w:lineRule="auto"/>
        <w:jc w:val="both"/>
        <w:rPr>
          <w:rFonts w:ascii="Arial" w:eastAsia="Times New Roman" w:hAnsi="Arial" w:cs="Arial"/>
          <w:bCs/>
          <w:sz w:val="24"/>
          <w:szCs w:val="24"/>
          <w:lang w:eastAsia="es-MX"/>
        </w:rPr>
      </w:pPr>
      <w:r w:rsidRPr="008C0488">
        <w:rPr>
          <w:rFonts w:ascii="Arial" w:eastAsia="Times New Roman" w:hAnsi="Arial" w:cs="Arial"/>
          <w:b/>
          <w:bCs/>
          <w:sz w:val="24"/>
          <w:szCs w:val="24"/>
          <w:lang w:eastAsia="es-MX"/>
        </w:rPr>
        <w:t>Admisión.</w:t>
      </w:r>
      <w:r w:rsidRPr="008C0488">
        <w:rPr>
          <w:rFonts w:ascii="Arial" w:eastAsia="Times New Roman" w:hAnsi="Arial" w:cs="Arial"/>
          <w:bCs/>
          <w:sz w:val="24"/>
          <w:szCs w:val="24"/>
          <w:lang w:eastAsia="es-MX"/>
        </w:rPr>
        <w:t xml:space="preserve"> Visto el estado que guardan los autos, dado que el presente juicio reúne los requisitos generales y especiales competencia del Tribunal Electoral del Estado de Aguascalientes, se admite el presente medio de impugnación.</w:t>
      </w:r>
    </w:p>
    <w:p w:rsidR="008C0488" w:rsidRDefault="008C0488" w:rsidP="008C0488">
      <w:pPr>
        <w:pStyle w:val="Prrafodelista"/>
        <w:numPr>
          <w:ilvl w:val="0"/>
          <w:numId w:val="1"/>
        </w:numPr>
        <w:spacing w:line="360" w:lineRule="auto"/>
        <w:jc w:val="both"/>
        <w:rPr>
          <w:rFonts w:ascii="Arial" w:eastAsia="Times New Roman" w:hAnsi="Arial" w:cs="Arial"/>
          <w:bCs/>
          <w:sz w:val="24"/>
          <w:szCs w:val="24"/>
          <w:lang w:eastAsia="es-MX"/>
        </w:rPr>
      </w:pPr>
      <w:r>
        <w:rPr>
          <w:rFonts w:ascii="Arial" w:eastAsia="Times New Roman" w:hAnsi="Arial" w:cs="Arial"/>
          <w:b/>
          <w:bCs/>
          <w:sz w:val="24"/>
          <w:szCs w:val="24"/>
          <w:lang w:eastAsia="es-MX"/>
        </w:rPr>
        <w:t>Pruebas.</w:t>
      </w:r>
      <w:r>
        <w:rPr>
          <w:rFonts w:ascii="Arial" w:eastAsia="Times New Roman" w:hAnsi="Arial" w:cs="Arial"/>
          <w:bCs/>
          <w:sz w:val="24"/>
          <w:szCs w:val="24"/>
          <w:lang w:eastAsia="es-MX"/>
        </w:rPr>
        <w:t xml:space="preserve"> Se admiten las documentales públicas ofrecidas por las </w:t>
      </w:r>
      <w:proofErr w:type="spellStart"/>
      <w:r>
        <w:rPr>
          <w:rFonts w:ascii="Arial" w:eastAsia="Times New Roman" w:hAnsi="Arial" w:cs="Arial"/>
          <w:bCs/>
          <w:sz w:val="24"/>
          <w:szCs w:val="24"/>
          <w:lang w:eastAsia="es-MX"/>
        </w:rPr>
        <w:t>promoventes</w:t>
      </w:r>
      <w:proofErr w:type="spellEnd"/>
      <w:r>
        <w:rPr>
          <w:rFonts w:ascii="Arial" w:eastAsia="Times New Roman" w:hAnsi="Arial" w:cs="Arial"/>
          <w:bCs/>
          <w:sz w:val="24"/>
          <w:szCs w:val="24"/>
          <w:lang w:eastAsia="es-MX"/>
        </w:rPr>
        <w:t xml:space="preserve">. </w:t>
      </w:r>
      <w:r w:rsidR="007B1C23">
        <w:rPr>
          <w:rFonts w:ascii="Arial" w:eastAsia="Times New Roman" w:hAnsi="Arial" w:cs="Arial"/>
          <w:bCs/>
          <w:sz w:val="24"/>
          <w:szCs w:val="24"/>
          <w:lang w:eastAsia="es-MX"/>
        </w:rPr>
        <w:t>Toda vez que, las pruebas ofrecidas por las actoras son iguales, e</w:t>
      </w:r>
      <w:r>
        <w:rPr>
          <w:rFonts w:ascii="Arial" w:eastAsia="Times New Roman" w:hAnsi="Arial" w:cs="Arial"/>
          <w:bCs/>
          <w:sz w:val="24"/>
          <w:szCs w:val="24"/>
          <w:lang w:eastAsia="es-MX"/>
        </w:rPr>
        <w:t>ste Tribunal determina admitirlas conforme a las</w:t>
      </w:r>
      <w:r w:rsidR="007B1C23">
        <w:rPr>
          <w:rFonts w:ascii="Arial" w:eastAsia="Times New Roman" w:hAnsi="Arial" w:cs="Arial"/>
          <w:bCs/>
          <w:sz w:val="24"/>
          <w:szCs w:val="24"/>
          <w:lang w:eastAsia="es-MX"/>
        </w:rPr>
        <w:t xml:space="preserve"> constancias que obran en autos, las cuales consisten en:</w:t>
      </w:r>
    </w:p>
    <w:p w:rsidR="00F10C09" w:rsidRPr="00F10C09" w:rsidRDefault="00F10C09" w:rsidP="00F10C09">
      <w:pPr>
        <w:pStyle w:val="Prrafodelista"/>
        <w:spacing w:line="360" w:lineRule="auto"/>
        <w:ind w:left="1428"/>
        <w:jc w:val="both"/>
        <w:rPr>
          <w:rFonts w:ascii="Arial" w:eastAsia="Times New Roman" w:hAnsi="Arial" w:cs="Arial"/>
          <w:bCs/>
          <w:sz w:val="24"/>
          <w:szCs w:val="24"/>
          <w:lang w:eastAsia="es-MX"/>
        </w:rPr>
      </w:pPr>
    </w:p>
    <w:p w:rsidR="00F10C09" w:rsidRPr="00F10C09" w:rsidRDefault="00F10C09" w:rsidP="00F10C09">
      <w:pPr>
        <w:pStyle w:val="Prrafodelista"/>
        <w:spacing w:line="360" w:lineRule="auto"/>
        <w:ind w:left="1428"/>
        <w:jc w:val="both"/>
        <w:rPr>
          <w:rFonts w:ascii="Arial" w:hAnsi="Arial" w:cs="Arial"/>
          <w:sz w:val="24"/>
          <w:szCs w:val="24"/>
        </w:rPr>
      </w:pPr>
      <w:r w:rsidRPr="00F10C09">
        <w:rPr>
          <w:rFonts w:ascii="Arial" w:hAnsi="Arial" w:cs="Arial"/>
          <w:b/>
          <w:sz w:val="24"/>
          <w:szCs w:val="24"/>
        </w:rPr>
        <w:t>Documental Pública.-</w:t>
      </w:r>
      <w:r w:rsidRPr="00F10C09">
        <w:rPr>
          <w:rFonts w:ascii="Arial" w:hAnsi="Arial" w:cs="Arial"/>
          <w:sz w:val="24"/>
          <w:szCs w:val="24"/>
        </w:rPr>
        <w:t xml:space="preserve">Acuerdo del Consejo General del Instituto Estatal Electoral, Mediante el cual se aprueban las reglas para </w:t>
      </w:r>
      <w:r w:rsidRPr="00F10C09">
        <w:rPr>
          <w:rFonts w:ascii="Arial" w:hAnsi="Arial" w:cs="Arial"/>
          <w:sz w:val="24"/>
          <w:szCs w:val="24"/>
        </w:rPr>
        <w:lastRenderedPageBreak/>
        <w:t>Garantizar la Paridad de Género en el Proceso Electoral Concurrente Ordinario 2020-2021, con la clave signada CG-A-36/2020. Emitido por el Consejo General del Instituto Estatal Electoral de Aguascalientes aprobado en Sesión Extraordinaria de fecha seis de noviembre del dos mil veinte.</w:t>
      </w:r>
    </w:p>
    <w:p w:rsidR="00F10C09" w:rsidRPr="00F10C09" w:rsidRDefault="00F10C09" w:rsidP="00F10C09">
      <w:pPr>
        <w:pStyle w:val="Prrafodelista"/>
        <w:spacing w:line="360" w:lineRule="auto"/>
        <w:ind w:left="1428"/>
        <w:jc w:val="both"/>
        <w:rPr>
          <w:rFonts w:ascii="Arial" w:hAnsi="Arial" w:cs="Arial"/>
          <w:sz w:val="24"/>
          <w:szCs w:val="24"/>
        </w:rPr>
      </w:pPr>
      <w:r>
        <w:rPr>
          <w:rFonts w:ascii="Arial" w:hAnsi="Arial" w:cs="Arial"/>
          <w:b/>
          <w:sz w:val="24"/>
          <w:szCs w:val="24"/>
        </w:rPr>
        <w:t>DOCUMENTAL PÚBLICA.</w:t>
      </w:r>
      <w:r w:rsidRPr="00F10C09">
        <w:rPr>
          <w:rFonts w:ascii="Arial" w:hAnsi="Arial" w:cs="Arial"/>
          <w:b/>
          <w:sz w:val="24"/>
          <w:szCs w:val="24"/>
        </w:rPr>
        <w:t>-</w:t>
      </w:r>
      <w:r w:rsidRPr="00F10C09">
        <w:rPr>
          <w:rFonts w:ascii="Arial" w:hAnsi="Arial" w:cs="Arial"/>
          <w:sz w:val="24"/>
          <w:szCs w:val="24"/>
        </w:rPr>
        <w:t xml:space="preserve"> Escrito de solicitud del registro del Convenio de Coalición celebrado entre los partidos polí</w:t>
      </w:r>
      <w:r w:rsidR="00397803">
        <w:rPr>
          <w:rFonts w:ascii="Arial" w:hAnsi="Arial" w:cs="Arial"/>
          <w:sz w:val="24"/>
          <w:szCs w:val="24"/>
        </w:rPr>
        <w:t>ticos: Partido Acción Nacional y</w:t>
      </w:r>
      <w:r w:rsidRPr="00F10C09">
        <w:rPr>
          <w:rFonts w:ascii="Arial" w:hAnsi="Arial" w:cs="Arial"/>
          <w:sz w:val="24"/>
          <w:szCs w:val="24"/>
        </w:rPr>
        <w:t xml:space="preserve"> Partido de la Revolución Democrática, a la cual denominaron "POR </w:t>
      </w:r>
      <w:proofErr w:type="spellStart"/>
      <w:r w:rsidRPr="00F10C09">
        <w:rPr>
          <w:rFonts w:ascii="Arial" w:hAnsi="Arial" w:cs="Arial"/>
          <w:sz w:val="24"/>
          <w:szCs w:val="24"/>
        </w:rPr>
        <w:t>AGUASCALlENTES</w:t>
      </w:r>
      <w:proofErr w:type="spellEnd"/>
      <w:r w:rsidRPr="00F10C09">
        <w:rPr>
          <w:rFonts w:ascii="Arial" w:hAnsi="Arial" w:cs="Arial"/>
          <w:sz w:val="24"/>
          <w:szCs w:val="24"/>
        </w:rPr>
        <w:t xml:space="preserve">". Presentado en fecha dos de enero de dos mil veintiuno, por el presidente del Comité Directivo Estatal del Partido Acción Nacional en Aguascalientes, el Lic. Gustavo Alberto </w:t>
      </w:r>
      <w:proofErr w:type="spellStart"/>
      <w:r w:rsidRPr="00F10C09">
        <w:rPr>
          <w:rFonts w:ascii="Arial" w:hAnsi="Arial" w:cs="Arial"/>
          <w:sz w:val="24"/>
          <w:szCs w:val="24"/>
        </w:rPr>
        <w:t>Baez</w:t>
      </w:r>
      <w:proofErr w:type="spellEnd"/>
      <w:r w:rsidRPr="00F10C09">
        <w:rPr>
          <w:rFonts w:ascii="Arial" w:hAnsi="Arial" w:cs="Arial"/>
          <w:sz w:val="24"/>
          <w:szCs w:val="24"/>
        </w:rPr>
        <w:t xml:space="preserve"> </w:t>
      </w:r>
      <w:proofErr w:type="spellStart"/>
      <w:r w:rsidRPr="00F10C09">
        <w:rPr>
          <w:rFonts w:ascii="Arial" w:hAnsi="Arial" w:cs="Arial"/>
          <w:sz w:val="24"/>
          <w:szCs w:val="24"/>
        </w:rPr>
        <w:t>Leos</w:t>
      </w:r>
      <w:proofErr w:type="spellEnd"/>
      <w:r w:rsidRPr="00F10C09">
        <w:rPr>
          <w:rFonts w:ascii="Arial" w:hAnsi="Arial" w:cs="Arial"/>
          <w:sz w:val="24"/>
          <w:szCs w:val="24"/>
        </w:rPr>
        <w:t>, así como, por el presidente de la Dirección Estatal Ejecutiva del Partido de la Revolución Democrática en Aguascalientes, el C. Iván Alejandro Sánchez Nájera, ante la oficialía de partes de este Instituto Estatal Electoral del Estado de Aguascalientes.</w:t>
      </w:r>
    </w:p>
    <w:p w:rsidR="00F10C09" w:rsidRPr="00F10C09" w:rsidRDefault="00F10C09" w:rsidP="00F10C09">
      <w:pPr>
        <w:pStyle w:val="Prrafodelista"/>
        <w:spacing w:line="360" w:lineRule="auto"/>
        <w:ind w:left="1428"/>
        <w:jc w:val="both"/>
        <w:rPr>
          <w:rFonts w:ascii="Arial" w:hAnsi="Arial" w:cs="Arial"/>
          <w:sz w:val="24"/>
          <w:szCs w:val="24"/>
        </w:rPr>
      </w:pPr>
      <w:r w:rsidRPr="00397803">
        <w:rPr>
          <w:rFonts w:ascii="Arial" w:hAnsi="Arial" w:cs="Arial"/>
          <w:b/>
          <w:sz w:val="24"/>
          <w:szCs w:val="24"/>
        </w:rPr>
        <w:t xml:space="preserve">DOCUMENTAL </w:t>
      </w:r>
      <w:proofErr w:type="spellStart"/>
      <w:r w:rsidRPr="00397803">
        <w:rPr>
          <w:rFonts w:ascii="Arial" w:hAnsi="Arial" w:cs="Arial"/>
          <w:b/>
          <w:sz w:val="24"/>
          <w:szCs w:val="24"/>
        </w:rPr>
        <w:t>PÚBLlCA</w:t>
      </w:r>
      <w:proofErr w:type="spellEnd"/>
      <w:r w:rsidRPr="00397803">
        <w:rPr>
          <w:rFonts w:ascii="Arial" w:hAnsi="Arial" w:cs="Arial"/>
          <w:b/>
          <w:sz w:val="24"/>
          <w:szCs w:val="24"/>
        </w:rPr>
        <w:t>.-</w:t>
      </w:r>
      <w:r w:rsidRPr="00F10C09">
        <w:rPr>
          <w:rFonts w:ascii="Arial" w:hAnsi="Arial" w:cs="Arial"/>
          <w:sz w:val="24"/>
          <w:szCs w:val="24"/>
        </w:rPr>
        <w:t xml:space="preserve"> Lineamientos para que los</w:t>
      </w:r>
      <w:r w:rsidR="00397803">
        <w:rPr>
          <w:rFonts w:ascii="Arial" w:hAnsi="Arial" w:cs="Arial"/>
          <w:sz w:val="24"/>
          <w:szCs w:val="24"/>
        </w:rPr>
        <w:t xml:space="preserve"> Partidos Políticos Nacionales y</w:t>
      </w:r>
      <w:r w:rsidRPr="00F10C09">
        <w:rPr>
          <w:rFonts w:ascii="Arial" w:hAnsi="Arial" w:cs="Arial"/>
          <w:sz w:val="24"/>
          <w:szCs w:val="24"/>
        </w:rPr>
        <w:t>, en su caso, los Partidos Políticos Locales, Prevengan</w:t>
      </w:r>
      <w:r w:rsidR="00397803">
        <w:rPr>
          <w:rFonts w:ascii="Arial" w:hAnsi="Arial" w:cs="Arial"/>
          <w:sz w:val="24"/>
          <w:szCs w:val="24"/>
        </w:rPr>
        <w:t>, Atiendan, Sancionen, Reparen y</w:t>
      </w:r>
      <w:r w:rsidRPr="00F10C09">
        <w:rPr>
          <w:rFonts w:ascii="Arial" w:hAnsi="Arial" w:cs="Arial"/>
          <w:sz w:val="24"/>
          <w:szCs w:val="24"/>
        </w:rPr>
        <w:t xml:space="preserve"> Erradiquen la Violencia Política contra las Mujeres en Razón de Género. Emitidos en Sesión Ordinaria, por el Consejo General del Instituto Nacional Electoral, mediante el acuerdo INE/CG517/2020, de fecha veintiocho de octubre de dos mil veinte.</w:t>
      </w:r>
    </w:p>
    <w:p w:rsidR="00F10C09" w:rsidRDefault="00F10C09" w:rsidP="00F10C09">
      <w:pPr>
        <w:pStyle w:val="Prrafodelista"/>
        <w:spacing w:line="360" w:lineRule="auto"/>
        <w:ind w:left="1428"/>
        <w:jc w:val="both"/>
        <w:rPr>
          <w:rFonts w:ascii="Arial" w:hAnsi="Arial" w:cs="Arial"/>
          <w:sz w:val="24"/>
          <w:szCs w:val="24"/>
        </w:rPr>
      </w:pPr>
      <w:r w:rsidRPr="00397803">
        <w:rPr>
          <w:rFonts w:ascii="Arial" w:hAnsi="Arial" w:cs="Arial"/>
          <w:b/>
          <w:sz w:val="24"/>
          <w:szCs w:val="24"/>
        </w:rPr>
        <w:t xml:space="preserve">DOCUMENTAL </w:t>
      </w:r>
      <w:proofErr w:type="spellStart"/>
      <w:r w:rsidRPr="00397803">
        <w:rPr>
          <w:rFonts w:ascii="Arial" w:hAnsi="Arial" w:cs="Arial"/>
          <w:b/>
          <w:sz w:val="24"/>
          <w:szCs w:val="24"/>
        </w:rPr>
        <w:t>PÚBLlCA</w:t>
      </w:r>
      <w:proofErr w:type="spellEnd"/>
      <w:r w:rsidRPr="00397803">
        <w:rPr>
          <w:rFonts w:ascii="Arial" w:hAnsi="Arial" w:cs="Arial"/>
          <w:b/>
          <w:sz w:val="24"/>
          <w:szCs w:val="24"/>
        </w:rPr>
        <w:t>.-</w:t>
      </w:r>
      <w:r w:rsidRPr="00F10C09">
        <w:rPr>
          <w:rFonts w:ascii="Arial" w:hAnsi="Arial" w:cs="Arial"/>
          <w:sz w:val="24"/>
          <w:szCs w:val="24"/>
        </w:rPr>
        <w:t xml:space="preserve"> </w:t>
      </w:r>
      <w:bookmarkStart w:id="0" w:name="_GoBack"/>
      <w:bookmarkEnd w:id="0"/>
      <w:r w:rsidRPr="00F10C09">
        <w:rPr>
          <w:rFonts w:ascii="Arial" w:hAnsi="Arial" w:cs="Arial"/>
          <w:sz w:val="24"/>
          <w:szCs w:val="24"/>
        </w:rPr>
        <w:t>Resolución del Consejo General del Instituto Estatal Electoral, mediante la cual atiende la solicitud de registro del Convenio de la Coalición denominada "Por Aguascalientes" celebrado por los partidos políticos, Partido Acción Nacional y Partido de la Revolución Democrática, para el Proceso Electoral Concurrente Ordinario 2020-2021." Signado con la clave CG-R-02/21, aprobada en la Sesión Extraordinaria en formato reunión virtual, el Consejo General del Instituto Estatal Electoral de Aguascalientes, en fecha doce de enero de dos mil veintiuno.</w:t>
      </w:r>
    </w:p>
    <w:p w:rsidR="00397803" w:rsidRPr="00397803" w:rsidRDefault="00397803" w:rsidP="00F10C09">
      <w:pPr>
        <w:pStyle w:val="Prrafodelista"/>
        <w:spacing w:line="360" w:lineRule="auto"/>
        <w:ind w:left="1428"/>
        <w:jc w:val="both"/>
        <w:rPr>
          <w:rFonts w:ascii="Arial" w:hAnsi="Arial" w:cs="Arial"/>
          <w:sz w:val="24"/>
          <w:szCs w:val="24"/>
        </w:rPr>
      </w:pPr>
      <w:r>
        <w:rPr>
          <w:rFonts w:ascii="Arial" w:hAnsi="Arial" w:cs="Arial"/>
          <w:b/>
          <w:sz w:val="24"/>
          <w:szCs w:val="24"/>
        </w:rPr>
        <w:t>INSTRUMENTAL DE ACTUACIONES.</w:t>
      </w:r>
      <w:r w:rsidRPr="00397803">
        <w:rPr>
          <w:rFonts w:ascii="Arial" w:hAnsi="Arial" w:cs="Arial"/>
          <w:b/>
          <w:sz w:val="24"/>
          <w:szCs w:val="24"/>
        </w:rPr>
        <w:t>-</w:t>
      </w:r>
      <w:r w:rsidRPr="00397803">
        <w:rPr>
          <w:rFonts w:ascii="Arial" w:hAnsi="Arial" w:cs="Arial"/>
          <w:sz w:val="24"/>
          <w:szCs w:val="24"/>
        </w:rPr>
        <w:t xml:space="preserve"> Consistente en todos y cada uno de los documentos que obren en el expediente en el que se actúa y que de alguna forma beneficie a mis intereses y pretensiones, la cual r</w:t>
      </w:r>
      <w:r>
        <w:rPr>
          <w:rFonts w:ascii="Arial" w:hAnsi="Arial" w:cs="Arial"/>
          <w:sz w:val="24"/>
          <w:szCs w:val="24"/>
        </w:rPr>
        <w:t>elaciono con todos y cada uno de</w:t>
      </w:r>
      <w:r w:rsidRPr="00397803">
        <w:rPr>
          <w:rFonts w:ascii="Arial" w:hAnsi="Arial" w:cs="Arial"/>
          <w:sz w:val="24"/>
          <w:szCs w:val="24"/>
        </w:rPr>
        <w:t>, los hechos y consideracion</w:t>
      </w:r>
      <w:r>
        <w:rPr>
          <w:rFonts w:ascii="Arial" w:hAnsi="Arial" w:cs="Arial"/>
          <w:sz w:val="24"/>
          <w:szCs w:val="24"/>
        </w:rPr>
        <w:t>es de derecho de este documento</w:t>
      </w:r>
      <w:r w:rsidRPr="00397803">
        <w:rPr>
          <w:rFonts w:ascii="Arial" w:hAnsi="Arial" w:cs="Arial"/>
          <w:sz w:val="24"/>
          <w:szCs w:val="24"/>
        </w:rPr>
        <w:t>.</w:t>
      </w:r>
    </w:p>
    <w:p w:rsidR="00397803" w:rsidRPr="00397803" w:rsidRDefault="00397803" w:rsidP="00F10C09">
      <w:pPr>
        <w:pStyle w:val="Prrafodelista"/>
        <w:spacing w:line="360" w:lineRule="auto"/>
        <w:ind w:left="1428"/>
        <w:jc w:val="both"/>
        <w:rPr>
          <w:rFonts w:ascii="Arial" w:eastAsia="Times New Roman" w:hAnsi="Arial" w:cs="Arial"/>
          <w:bCs/>
          <w:sz w:val="24"/>
          <w:szCs w:val="24"/>
          <w:lang w:eastAsia="es-MX"/>
        </w:rPr>
      </w:pPr>
      <w:r w:rsidRPr="00397803">
        <w:rPr>
          <w:rFonts w:ascii="Arial" w:hAnsi="Arial" w:cs="Arial"/>
          <w:b/>
          <w:sz w:val="24"/>
          <w:szCs w:val="24"/>
        </w:rPr>
        <w:lastRenderedPageBreak/>
        <w:t>PRESUNCIONAL, EN SU DOBLE ASPECTO, LEGAL Y HUMANO.-</w:t>
      </w:r>
      <w:r w:rsidRPr="00397803">
        <w:rPr>
          <w:rFonts w:ascii="Arial" w:hAnsi="Arial" w:cs="Arial"/>
          <w:sz w:val="24"/>
          <w:szCs w:val="24"/>
        </w:rPr>
        <w:t xml:space="preserve"> en todo lo que me beneficie y a mis intereses y pretensiones, la cual relaciono con todos y "cada uno de los hechos y consideraciones de derecho de este documento.</w:t>
      </w:r>
    </w:p>
    <w:p w:rsidR="00C22567" w:rsidRPr="008C0488" w:rsidRDefault="00C22567" w:rsidP="008C0488">
      <w:pPr>
        <w:pStyle w:val="Prrafodelista"/>
        <w:numPr>
          <w:ilvl w:val="0"/>
          <w:numId w:val="1"/>
        </w:numPr>
        <w:spacing w:line="360" w:lineRule="auto"/>
        <w:jc w:val="both"/>
        <w:rPr>
          <w:rFonts w:ascii="Arial" w:eastAsia="Times New Roman" w:hAnsi="Arial" w:cs="Arial"/>
          <w:bCs/>
          <w:sz w:val="24"/>
          <w:szCs w:val="24"/>
          <w:lang w:eastAsia="es-MX"/>
        </w:rPr>
      </w:pPr>
      <w:r w:rsidRPr="008C0488">
        <w:rPr>
          <w:rFonts w:ascii="Arial" w:eastAsia="Times New Roman" w:hAnsi="Arial" w:cs="Arial"/>
          <w:b/>
          <w:bCs/>
          <w:sz w:val="24"/>
          <w:szCs w:val="24"/>
          <w:lang w:eastAsia="es-MX"/>
        </w:rPr>
        <w:t xml:space="preserve">Cierre de instrucción. </w:t>
      </w:r>
      <w:r w:rsidRPr="008C0488">
        <w:rPr>
          <w:rFonts w:ascii="Arial" w:eastAsia="Times New Roman" w:hAnsi="Arial" w:cs="Arial"/>
          <w:bCs/>
          <w:sz w:val="24"/>
          <w:szCs w:val="24"/>
          <w:lang w:eastAsia="es-MX"/>
        </w:rPr>
        <w:t xml:space="preserve">Toda vez que el expediente en que se actúa se encuentra debidamente sustanciado, no existe trámite o diligencia pendiente por realizar y obren en autos todos los elementos necesarios para resolver, se </w:t>
      </w:r>
      <w:r w:rsidRPr="008C0488">
        <w:rPr>
          <w:rFonts w:ascii="Arial" w:eastAsia="Times New Roman" w:hAnsi="Arial" w:cs="Arial"/>
          <w:b/>
          <w:bCs/>
          <w:sz w:val="24"/>
          <w:szCs w:val="24"/>
          <w:lang w:eastAsia="es-MX"/>
        </w:rPr>
        <w:t>declara cerrada la instrucción</w:t>
      </w:r>
      <w:r w:rsidRPr="008C0488">
        <w:rPr>
          <w:rFonts w:ascii="Arial" w:eastAsia="Times New Roman" w:hAnsi="Arial" w:cs="Arial"/>
          <w:bCs/>
          <w:sz w:val="24"/>
          <w:szCs w:val="24"/>
          <w:lang w:eastAsia="es-MX"/>
        </w:rPr>
        <w:t>; en consecuencia, procédase a formular el proyecto de sentencia correspondiente.</w:t>
      </w:r>
    </w:p>
    <w:p w:rsidR="00C22567" w:rsidRPr="007C1E2C" w:rsidRDefault="00C22567" w:rsidP="00C22567">
      <w:pPr>
        <w:spacing w:line="360" w:lineRule="auto"/>
        <w:ind w:firstLine="708"/>
        <w:jc w:val="both"/>
        <w:rPr>
          <w:rFonts w:ascii="Arial" w:eastAsia="Times New Roman" w:hAnsi="Arial" w:cs="Arial"/>
          <w:b/>
          <w:bCs/>
          <w:sz w:val="24"/>
          <w:szCs w:val="24"/>
          <w:lang w:eastAsia="es-MX"/>
        </w:rPr>
      </w:pPr>
      <w:r w:rsidRPr="007C1E2C">
        <w:rPr>
          <w:rFonts w:ascii="Arial" w:eastAsia="Times New Roman" w:hAnsi="Arial" w:cs="Arial"/>
          <w:b/>
          <w:bCs/>
          <w:sz w:val="24"/>
          <w:szCs w:val="24"/>
          <w:lang w:eastAsia="es-MX"/>
        </w:rPr>
        <w:t>NOTIFÍQUESE</w:t>
      </w:r>
    </w:p>
    <w:p w:rsidR="00C22567" w:rsidRDefault="00C22567" w:rsidP="00C22567">
      <w:pPr>
        <w:spacing w:line="360" w:lineRule="auto"/>
        <w:ind w:firstLine="708"/>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Así lo acordó el Magistrado Instructor, </w:t>
      </w:r>
      <w:r w:rsidR="00386305">
        <w:rPr>
          <w:rFonts w:ascii="Arial" w:eastAsia="Times New Roman" w:hAnsi="Arial" w:cs="Arial"/>
          <w:bCs/>
          <w:sz w:val="24"/>
          <w:szCs w:val="24"/>
          <w:lang w:eastAsia="es-MX"/>
        </w:rPr>
        <w:t xml:space="preserve">en </w:t>
      </w:r>
      <w:r>
        <w:rPr>
          <w:rFonts w:ascii="Arial" w:eastAsia="Times New Roman" w:hAnsi="Arial" w:cs="Arial"/>
          <w:bCs/>
          <w:sz w:val="24"/>
          <w:szCs w:val="24"/>
          <w:lang w:eastAsia="es-MX"/>
        </w:rPr>
        <w:t>presencia del Secretario de Estudio, quien da fe.</w:t>
      </w:r>
    </w:p>
    <w:p w:rsidR="00C22567" w:rsidRPr="00575FF2" w:rsidRDefault="00C22567" w:rsidP="00C22567">
      <w:pPr>
        <w:spacing w:line="360" w:lineRule="auto"/>
        <w:ind w:left="-1985" w:right="675"/>
        <w:jc w:val="both"/>
        <w:rPr>
          <w:rFonts w:ascii="Arial" w:hAnsi="Arial" w:cs="Arial"/>
          <w:b/>
          <w:bCs/>
          <w:i/>
          <w:sz w:val="24"/>
          <w:szCs w:val="24"/>
        </w:rPr>
      </w:pPr>
    </w:p>
    <w:p w:rsidR="00C22567" w:rsidRPr="00575FF2" w:rsidRDefault="00C22567" w:rsidP="00C22567">
      <w:pPr>
        <w:spacing w:line="360" w:lineRule="auto"/>
        <w:ind w:left="-1985" w:right="675"/>
        <w:jc w:val="both"/>
        <w:rPr>
          <w:rFonts w:ascii="Arial" w:hAnsi="Arial" w:cs="Arial"/>
          <w:i/>
          <w:sz w:val="24"/>
          <w:szCs w:val="24"/>
        </w:rPr>
      </w:pPr>
    </w:p>
    <w:p w:rsidR="00C22567" w:rsidRPr="00575FF2" w:rsidRDefault="00C22567" w:rsidP="00C22567">
      <w:pPr>
        <w:spacing w:line="360" w:lineRule="auto"/>
        <w:ind w:left="-1985" w:right="675"/>
        <w:jc w:val="both"/>
        <w:rPr>
          <w:rFonts w:ascii="Arial" w:hAnsi="Arial" w:cs="Arial"/>
          <w:b/>
          <w:bCs/>
          <w:i/>
          <w:sz w:val="24"/>
          <w:szCs w:val="24"/>
        </w:rPr>
      </w:pPr>
      <w:r w:rsidRPr="00575FF2">
        <w:rPr>
          <w:rFonts w:ascii="Arial" w:hAnsi="Arial" w:cs="Arial"/>
          <w:b/>
          <w:bCs/>
          <w:sz w:val="24"/>
          <w:szCs w:val="24"/>
        </w:rPr>
        <w:t xml:space="preserve">                 </w:t>
      </w:r>
      <w:r>
        <w:rPr>
          <w:rFonts w:ascii="Arial" w:hAnsi="Arial" w:cs="Arial"/>
          <w:b/>
          <w:bCs/>
          <w:sz w:val="24"/>
          <w:szCs w:val="24"/>
        </w:rPr>
        <w:t xml:space="preserve">                    </w:t>
      </w:r>
      <w:r w:rsidRPr="00575FF2">
        <w:rPr>
          <w:rFonts w:ascii="Arial" w:hAnsi="Arial" w:cs="Arial"/>
          <w:b/>
          <w:bCs/>
          <w:sz w:val="24"/>
          <w:szCs w:val="24"/>
        </w:rPr>
        <w:t>MAGISTRADO                                                 SECRETARIO DE ESTUDIO</w:t>
      </w:r>
    </w:p>
    <w:p w:rsidR="00C22567" w:rsidRPr="00575FF2" w:rsidRDefault="00C22567" w:rsidP="00C22567">
      <w:pPr>
        <w:spacing w:line="360" w:lineRule="auto"/>
        <w:ind w:left="-1985" w:right="675"/>
        <w:jc w:val="both"/>
        <w:rPr>
          <w:rFonts w:ascii="Arial" w:hAnsi="Arial" w:cs="Arial"/>
          <w:b/>
          <w:bCs/>
          <w:i/>
          <w:sz w:val="24"/>
          <w:szCs w:val="24"/>
        </w:rPr>
      </w:pPr>
    </w:p>
    <w:p w:rsidR="00C22567" w:rsidRPr="00575FF2" w:rsidRDefault="00C22567" w:rsidP="00C22567">
      <w:pPr>
        <w:spacing w:line="360" w:lineRule="auto"/>
        <w:ind w:left="-1985" w:right="675"/>
        <w:jc w:val="both"/>
        <w:rPr>
          <w:rFonts w:ascii="Arial" w:hAnsi="Arial" w:cs="Arial"/>
          <w:b/>
          <w:bCs/>
          <w:i/>
          <w:sz w:val="24"/>
          <w:szCs w:val="24"/>
        </w:rPr>
      </w:pPr>
      <w:r w:rsidRPr="00575FF2">
        <w:rPr>
          <w:rFonts w:ascii="Arial" w:hAnsi="Arial" w:cs="Arial"/>
          <w:b/>
          <w:bCs/>
          <w:sz w:val="24"/>
          <w:szCs w:val="24"/>
        </w:rPr>
        <w:t xml:space="preserve">         </w:t>
      </w:r>
      <w:r>
        <w:rPr>
          <w:rFonts w:ascii="Arial" w:hAnsi="Arial" w:cs="Arial"/>
          <w:b/>
          <w:bCs/>
          <w:sz w:val="24"/>
          <w:szCs w:val="24"/>
        </w:rPr>
        <w:t xml:space="preserve">                     </w:t>
      </w:r>
      <w:r w:rsidRPr="00575FF2">
        <w:rPr>
          <w:rFonts w:ascii="Arial" w:hAnsi="Arial" w:cs="Arial"/>
          <w:b/>
          <w:bCs/>
          <w:sz w:val="24"/>
          <w:szCs w:val="24"/>
        </w:rPr>
        <w:t xml:space="preserve">  HÉCTOR SALVADOR                                         </w:t>
      </w:r>
      <w:r>
        <w:rPr>
          <w:rFonts w:ascii="Arial" w:hAnsi="Arial" w:cs="Arial"/>
          <w:b/>
          <w:bCs/>
          <w:sz w:val="24"/>
          <w:szCs w:val="24"/>
        </w:rPr>
        <w:t xml:space="preserve"> </w:t>
      </w:r>
      <w:r w:rsidRPr="00575FF2">
        <w:rPr>
          <w:rFonts w:ascii="Arial" w:hAnsi="Arial" w:cs="Arial"/>
          <w:b/>
          <w:bCs/>
          <w:sz w:val="24"/>
          <w:szCs w:val="24"/>
        </w:rPr>
        <w:t>DANIEL OMAR GUTIÉRREZ</w:t>
      </w:r>
    </w:p>
    <w:p w:rsidR="00C22567" w:rsidRPr="00575FF2" w:rsidRDefault="00C22567" w:rsidP="00C22567">
      <w:pPr>
        <w:spacing w:line="360" w:lineRule="auto"/>
        <w:ind w:left="-1985" w:right="675"/>
        <w:jc w:val="both"/>
        <w:rPr>
          <w:rFonts w:ascii="Arial" w:hAnsi="Arial" w:cs="Arial"/>
          <w:b/>
          <w:bCs/>
          <w:i/>
          <w:sz w:val="24"/>
          <w:szCs w:val="24"/>
        </w:rPr>
      </w:pPr>
      <w:r w:rsidRPr="00575FF2">
        <w:rPr>
          <w:rFonts w:ascii="Arial" w:hAnsi="Arial" w:cs="Arial"/>
          <w:b/>
          <w:bCs/>
          <w:sz w:val="24"/>
          <w:szCs w:val="24"/>
        </w:rPr>
        <w:t xml:space="preserve">       </w:t>
      </w:r>
      <w:r>
        <w:rPr>
          <w:rFonts w:ascii="Arial" w:hAnsi="Arial" w:cs="Arial"/>
          <w:b/>
          <w:bCs/>
          <w:sz w:val="24"/>
          <w:szCs w:val="24"/>
        </w:rPr>
        <w:t xml:space="preserve">                       </w:t>
      </w:r>
      <w:r w:rsidRPr="00575FF2">
        <w:rPr>
          <w:rFonts w:ascii="Arial" w:hAnsi="Arial" w:cs="Arial"/>
          <w:b/>
          <w:bCs/>
          <w:sz w:val="24"/>
          <w:szCs w:val="24"/>
        </w:rPr>
        <w:t xml:space="preserve">HERNÁNDEZ GALLEGOS          </w:t>
      </w:r>
      <w:r>
        <w:rPr>
          <w:rFonts w:ascii="Arial" w:hAnsi="Arial" w:cs="Arial"/>
          <w:b/>
          <w:bCs/>
          <w:sz w:val="24"/>
          <w:szCs w:val="24"/>
        </w:rPr>
        <w:t xml:space="preserve">                              </w:t>
      </w:r>
      <w:r w:rsidRPr="00575FF2">
        <w:rPr>
          <w:rFonts w:ascii="Arial" w:hAnsi="Arial" w:cs="Arial"/>
          <w:b/>
          <w:bCs/>
          <w:sz w:val="24"/>
          <w:szCs w:val="24"/>
        </w:rPr>
        <w:t xml:space="preserve">   RUVALCABA</w:t>
      </w:r>
    </w:p>
    <w:p w:rsidR="00C22567" w:rsidRPr="007C1E2C" w:rsidRDefault="00C22567" w:rsidP="00C22567">
      <w:pPr>
        <w:spacing w:line="360" w:lineRule="auto"/>
        <w:ind w:firstLine="708"/>
        <w:jc w:val="both"/>
        <w:rPr>
          <w:rFonts w:ascii="Arial" w:eastAsia="Times New Roman" w:hAnsi="Arial" w:cs="Arial"/>
          <w:bCs/>
          <w:sz w:val="24"/>
          <w:szCs w:val="24"/>
          <w:lang w:eastAsia="es-MX"/>
        </w:rPr>
      </w:pPr>
    </w:p>
    <w:p w:rsidR="00C22567" w:rsidRDefault="00C22567" w:rsidP="00C22567">
      <w:pPr>
        <w:rPr>
          <w:rFonts w:ascii="Arial" w:hAnsi="Arial" w:cs="Arial"/>
          <w:sz w:val="24"/>
          <w:szCs w:val="24"/>
        </w:rPr>
      </w:pPr>
    </w:p>
    <w:p w:rsidR="00C22567" w:rsidRDefault="00C22567" w:rsidP="00C22567">
      <w:pPr>
        <w:rPr>
          <w:rFonts w:ascii="Arial" w:hAnsi="Arial" w:cs="Arial"/>
          <w:sz w:val="24"/>
          <w:szCs w:val="24"/>
        </w:rPr>
      </w:pPr>
    </w:p>
    <w:p w:rsidR="00C22567" w:rsidRPr="005C5936" w:rsidRDefault="00C22567" w:rsidP="00C22567">
      <w:pPr>
        <w:spacing w:line="360" w:lineRule="auto"/>
        <w:ind w:firstLine="708"/>
        <w:jc w:val="both"/>
        <w:rPr>
          <w:sz w:val="24"/>
          <w:szCs w:val="24"/>
        </w:rPr>
      </w:pPr>
    </w:p>
    <w:p w:rsidR="00F45432" w:rsidRDefault="00F45432"/>
    <w:sectPr w:rsidR="00F45432" w:rsidSect="007C1E2C">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DE" w:rsidRDefault="00355DDE" w:rsidP="00C22567">
      <w:pPr>
        <w:spacing w:after="0" w:line="240" w:lineRule="auto"/>
      </w:pPr>
      <w:r>
        <w:separator/>
      </w:r>
    </w:p>
  </w:endnote>
  <w:endnote w:type="continuationSeparator" w:id="0">
    <w:p w:rsidR="00355DDE" w:rsidRDefault="00355DDE" w:rsidP="00C2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49" w:rsidRDefault="00355DDE">
    <w:pPr>
      <w:pStyle w:val="Piedepgina"/>
      <w:jc w:val="right"/>
    </w:pPr>
  </w:p>
  <w:p w:rsidR="00F71849" w:rsidRDefault="00355D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DE" w:rsidRDefault="00355DDE" w:rsidP="00C22567">
      <w:pPr>
        <w:spacing w:after="0" w:line="240" w:lineRule="auto"/>
      </w:pPr>
      <w:r>
        <w:separator/>
      </w:r>
    </w:p>
  </w:footnote>
  <w:footnote w:type="continuationSeparator" w:id="0">
    <w:p w:rsidR="00355DDE" w:rsidRDefault="00355DDE" w:rsidP="00C22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DA" w:rsidRDefault="0026508F" w:rsidP="00C252C8">
    <w:pPr>
      <w:pStyle w:val="Encabezado"/>
      <w:tabs>
        <w:tab w:val="left" w:pos="5103"/>
      </w:tabs>
      <w:rPr>
        <w:rFonts w:ascii="Century Gothic" w:hAnsi="Century Gothic"/>
        <w:noProof/>
        <w:lang w:eastAsia="es-MX"/>
      </w:rPr>
    </w:pPr>
    <w:r w:rsidRPr="00A46BD3">
      <w:rPr>
        <w:rFonts w:ascii="Century Gothic" w:hAnsi="Century Gothic"/>
        <w:noProof/>
        <w:lang w:eastAsia="es-MX"/>
      </w:rPr>
      <w:drawing>
        <wp:anchor distT="0" distB="0" distL="114300" distR="114300" simplePos="0" relativeHeight="251659264" behindDoc="0" locked="0" layoutInCell="1" allowOverlap="1" wp14:anchorId="708183A2" wp14:editId="33A3CAB9">
          <wp:simplePos x="0" y="0"/>
          <wp:positionH relativeFrom="margin">
            <wp:align>left</wp:align>
          </wp:positionH>
          <wp:positionV relativeFrom="paragraph">
            <wp:posOffset>173289</wp:posOffset>
          </wp:positionV>
          <wp:extent cx="1180011" cy="1404745"/>
          <wp:effectExtent l="0" t="0" r="127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hAnsi="Century Gothic"/>
        </w:rPr>
        <w:id w:val="-582839684"/>
        <w:docPartObj>
          <w:docPartGallery w:val="Page Numbers (Margins)"/>
          <w:docPartUnique/>
        </w:docPartObj>
      </w:sdtPr>
      <w:sdtEndPr/>
      <w:sdtContent>
        <w:r w:rsidRPr="00BE65DA">
          <w:rPr>
            <w:rFonts w:ascii="Century Gothic" w:hAnsi="Century Gothic"/>
            <w:noProof/>
            <w:lang w:eastAsia="es-MX"/>
          </w:rPr>
          <mc:AlternateContent>
            <mc:Choice Requires="wps">
              <w:drawing>
                <wp:anchor distT="0" distB="0" distL="114300" distR="114300" simplePos="0" relativeHeight="251660288" behindDoc="0" locked="0" layoutInCell="0" allowOverlap="1" wp14:anchorId="2DA4F233" wp14:editId="2BEC63F2">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E65DA" w:rsidRDefault="0026508F">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C1EB7" w:rsidRPr="00FC1EB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F233" id="Rectángulo 2"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E65DA" w:rsidRDefault="0026508F">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C1EB7" w:rsidRPr="00FC1EB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BE65DA" w:rsidRDefault="00355DDE" w:rsidP="00C252C8">
    <w:pPr>
      <w:pStyle w:val="Encabezado"/>
      <w:tabs>
        <w:tab w:val="left" w:pos="5103"/>
      </w:tabs>
      <w:rPr>
        <w:rFonts w:ascii="Century Gothic" w:hAnsi="Century Gothic"/>
      </w:rPr>
    </w:pPr>
  </w:p>
  <w:p w:rsidR="00BE65DA" w:rsidRDefault="00355DDE" w:rsidP="002C6B6D">
    <w:pPr>
      <w:pStyle w:val="Encabezado"/>
      <w:tabs>
        <w:tab w:val="left" w:pos="5103"/>
      </w:tabs>
      <w:jc w:val="right"/>
      <w:rPr>
        <w:rFonts w:ascii="Century Gothic" w:hAnsi="Century Gothic"/>
      </w:rPr>
    </w:pPr>
  </w:p>
  <w:p w:rsidR="00F71849" w:rsidRDefault="0026508F" w:rsidP="00C252C8">
    <w:pPr>
      <w:pStyle w:val="Encabezado"/>
      <w:tabs>
        <w:tab w:val="left" w:pos="5103"/>
      </w:tabs>
      <w:rPr>
        <w:rFonts w:ascii="Century Gothic" w:hAnsi="Century Gothic"/>
        <w:b/>
      </w:rPr>
    </w:pPr>
    <w:r>
      <w:rPr>
        <w:rFonts w:ascii="Century Gothic" w:hAnsi="Century Gothic"/>
      </w:rPr>
      <w:t xml:space="preserve"> </w:t>
    </w:r>
    <w:r w:rsidRPr="00A46BD3">
      <w:rPr>
        <w:rFonts w:ascii="Century Gothic" w:hAnsi="Century Gothic"/>
      </w:rPr>
      <w:t xml:space="preserve">                                                               </w:t>
    </w:r>
    <w:r>
      <w:rPr>
        <w:rFonts w:ascii="Century Gothic" w:hAnsi="Century Gothic"/>
      </w:rPr>
      <w:t xml:space="preserve">                  </w:t>
    </w:r>
  </w:p>
  <w:p w:rsidR="00F71849" w:rsidRPr="00A46BD3" w:rsidRDefault="0026508F" w:rsidP="00C252C8">
    <w:pPr>
      <w:pStyle w:val="Encabezado"/>
      <w:rPr>
        <w:rFonts w:ascii="Century Gothic" w:hAnsi="Century Gothic"/>
        <w:b/>
      </w:rPr>
    </w:pPr>
    <w:r>
      <w:rPr>
        <w:rFonts w:ascii="Century Gothic" w:hAnsi="Century Gothic"/>
        <w:b/>
      </w:rPr>
      <w:tab/>
    </w:r>
    <w:r>
      <w:rPr>
        <w:rFonts w:ascii="Century Gothic" w:hAnsi="Century Gothic"/>
        <w:b/>
      </w:rPr>
      <w:tab/>
    </w:r>
  </w:p>
  <w:p w:rsidR="00F71849" w:rsidRDefault="0026508F" w:rsidP="00286141">
    <w:pPr>
      <w:pStyle w:val="Encabezado"/>
      <w:jc w:val="right"/>
      <w:rPr>
        <w:rFonts w:ascii="Century Gothic" w:hAnsi="Century Gothic"/>
        <w:b/>
      </w:rPr>
    </w:pPr>
    <w:r w:rsidRPr="00A46BD3">
      <w:rPr>
        <w:rFonts w:ascii="Century Gothic" w:hAnsi="Century Gothic"/>
        <w:b/>
      </w:rPr>
      <w:t xml:space="preserve">                                                    </w:t>
    </w:r>
    <w:r w:rsidR="00C22567">
      <w:rPr>
        <w:rFonts w:ascii="Century Gothic" w:hAnsi="Century Gothic"/>
        <w:b/>
      </w:rPr>
      <w:t xml:space="preserve">                               </w:t>
    </w:r>
  </w:p>
  <w:p w:rsidR="00BE65DA" w:rsidRDefault="00355DDE" w:rsidP="00286141">
    <w:pPr>
      <w:pStyle w:val="Encabezado"/>
      <w:jc w:val="right"/>
      <w:rPr>
        <w:rFonts w:ascii="Century Gothic" w:hAnsi="Century Gothic"/>
      </w:rPr>
    </w:pPr>
  </w:p>
  <w:p w:rsidR="00BE65DA" w:rsidRDefault="00355DDE" w:rsidP="00286141">
    <w:pPr>
      <w:pStyle w:val="Encabezado"/>
      <w:jc w:val="right"/>
      <w:rPr>
        <w:rFonts w:ascii="Century Gothic" w:hAnsi="Century Gothic"/>
      </w:rPr>
    </w:pPr>
  </w:p>
  <w:p w:rsidR="00BE65DA" w:rsidRDefault="00355DDE" w:rsidP="00286141">
    <w:pPr>
      <w:pStyle w:val="Encabezado"/>
      <w:jc w:val="right"/>
      <w:rPr>
        <w:rFonts w:ascii="Century Gothic" w:hAnsi="Century Gothic"/>
      </w:rPr>
    </w:pPr>
  </w:p>
  <w:p w:rsidR="00BE65DA" w:rsidRPr="00A46BD3" w:rsidRDefault="00355DDE" w:rsidP="00286141">
    <w:pPr>
      <w:pStyle w:val="Encabezado"/>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D2652"/>
    <w:multiLevelType w:val="hybridMultilevel"/>
    <w:tmpl w:val="5662660A"/>
    <w:lvl w:ilvl="0" w:tplc="B376436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67"/>
    <w:rsid w:val="0026508F"/>
    <w:rsid w:val="00355DDE"/>
    <w:rsid w:val="00386305"/>
    <w:rsid w:val="00397803"/>
    <w:rsid w:val="007B1C23"/>
    <w:rsid w:val="008C0488"/>
    <w:rsid w:val="00C22567"/>
    <w:rsid w:val="00F10C09"/>
    <w:rsid w:val="00F45432"/>
    <w:rsid w:val="00FC1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5CA8E-B0E1-4B03-A6E7-0E4495BB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6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2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567"/>
    <w:rPr>
      <w:rFonts w:ascii="Calibri" w:eastAsia="Calibri" w:hAnsi="Calibri" w:cs="Times New Roman"/>
    </w:rPr>
  </w:style>
  <w:style w:type="paragraph" w:styleId="Piedepgina">
    <w:name w:val="footer"/>
    <w:basedOn w:val="Normal"/>
    <w:link w:val="PiedepginaCar"/>
    <w:uiPriority w:val="99"/>
    <w:unhideWhenUsed/>
    <w:rsid w:val="00C22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567"/>
    <w:rPr>
      <w:rFonts w:ascii="Calibri" w:eastAsia="Calibri" w:hAnsi="Calibri" w:cs="Times New Roman"/>
    </w:rPr>
  </w:style>
  <w:style w:type="paragraph" w:styleId="Prrafodelista">
    <w:name w:val="List Paragraph"/>
    <w:basedOn w:val="Normal"/>
    <w:uiPriority w:val="34"/>
    <w:qFormat/>
    <w:rsid w:val="008C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2021-01-28T20:25:00Z</dcterms:created>
  <dcterms:modified xsi:type="dcterms:W3CDTF">2021-01-28T21:08:00Z</dcterms:modified>
</cp:coreProperties>
</file>